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XXXVI PRIEDAS. Informacijos apie turto suvaržymą atskleidimo formų nurodymai</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Pildydamos EBI IT sprendimų XXXV priede pateiktas EU AE1–EU AE4 formas įstaigos atskleidžia Reglamento (ES) Nr. 575/2013</w:t>
      </w:r>
      <w:r>
        <w:rPr>
          <w:rStyle w:val="FootnoteReference"/>
        </w:rPr>
        <w:footnoteReference w:id="1"/>
      </w:r>
      <w:r>
        <w:rPr>
          <w:sz w:val="24"/>
        </w:rPr>
        <w:t xml:space="preserve"> (toliau – KRR) 443 straipsnyje nurodytą informaciją, vadovaudamosi toliau šiame priede pateiktais nurodymais.</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 xml:space="preserve">Pildant informacijos apie turto suvaržymą atskleidimo formas, </w:t>
      </w:r>
      <w:r>
        <w:rPr>
          <w:rStyle w:val="TeksttreciTimesNewRoman105ptOdstpy0pt"/>
          <w:sz w:val="24"/>
        </w:rPr>
        <w:t>taikoma</w:t>
      </w:r>
      <w:r>
        <w:rPr>
          <w:sz w:val="24"/>
        </w:rPr>
        <w:t xml:space="preserve"> </w:t>
      </w:r>
      <w:r>
        <w:rPr>
          <w:rStyle w:val="TeksttreciTimesNewRoman105ptOdstpy0pt"/>
          <w:sz w:val="24"/>
        </w:rPr>
        <w:t>Komisijos įgyvendinimo reglamento (ES) Nr. 680/2014</w:t>
      </w:r>
      <w:r>
        <w:rPr>
          <w:rStyle w:val="FootnoteReference"/>
          <w:rFonts w:eastAsia="Calibri"/>
          <w:color w:val="000000"/>
          <w:shd w:val="clear" w:color="auto" w:fill="FFFFFF"/>
        </w:rPr>
        <w:footnoteReference w:id="2"/>
      </w:r>
      <w:r>
        <w:rPr>
          <w:rStyle w:val="TeksttreciTimesNewRoman105ptOdstpy0pt"/>
          <w:sz w:val="24"/>
        </w:rPr>
        <w:t xml:space="preserve"> XVII priedo 1.7 punkte (informacijos apie turto suvaržymą teikimo formų pildymo nurodymai)</w:t>
      </w:r>
      <w:r>
        <w:rPr>
          <w:sz w:val="24"/>
        </w:rPr>
        <w:t xml:space="preserve"> pateikta turto suvaržymo apibrėžtis.</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Įstaigos atskleidžia EU AE1, EU AE2 ir EU AE3 formose nurodytą informaciją taip kaip ji yra nurodoma pagal Komisijos įgyvendinimo reglamento (ES) Nr. 680/2014 XVI priedą (informacijos apie turto suvaržymą teikimo formos), nebent tose lentelėse nurodyta kitaip.</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3 punkte nurodyta informacija atskleidžiama naudojant medianines vertes. Medianinės vertės – ankstesnių dvylikos mėnesių slankiosios ketvirtinės medianos, nustatomos interpoliacijos būdu.</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Kai atskleidžiama konsoliduota informacija, taikomas konsolidavimas yra rizikos ribojimu pagrįstas konsolidavimas, kaip apibrėžta KRR pirmos dalies II antraštinės dalies 2 skyriaus 2 skirsnyje.</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Turto kokybės rodiklius pagal turto rūšį EU AE1 formos C030, C050, C080 ir C100 skiltyse ir pagal gautas užtikrinimo priemones ir išleistus skolos vertybinius popierius, įskaitant padengtąsias obligacijas ir pakeitimo vertybiniais popieriais priemones, EU AE2 formos C030 ir C060 skiltyse pildo tik kredito įstaigos, atitinkančios vieną iš šių kriterijų:</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jų bendra turto suma, apskaičiuota pagal Komisijos įgyvendinimo reglamento (ES) Nr. 680/2014 XVII priedo 1.6 punkto 10 dalį, sudaro daugiau kaip 30 mlrd.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jų turto suvaržymo lygis, apskaičiuotas pagal Komisijos įgyvendinimo reglamento (ES) Nr. 680/2014 XVII priedo 1.6 punkto 9 dalį, viršija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EU AE1 forma. Suvaržytas ir nesuvaržytas turtas</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Pildydamos šio įgyvendinimo reglamento XXXV priede pateiktą EU AE1 formą įstaigos vadovaujasi toliau pateiktais nurodymais.</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Paaiškinimas</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Informaciją atskleidžiančios įstaigos turtas </w:t>
            </w:r>
          </w:p>
          <w:p w14:paraId="1BFD4FF5" w14:textId="3B9D0E01"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1-ojo tarptautinio apskaitos standarto (TAS) 9 straipsnio a punktas, 6-oji įgyvendinimo nuoroda (ĮN), jei formą pildo TFAS taikančios įstaigos</w:t>
            </w:r>
            <w:r w:rsidR="00173491">
              <w:rPr>
                <w:rStyle w:val="PogrubienieTeksttreciTimesNewRoman105ptOdstpy0pt"/>
                <w:rFonts w:eastAsia="Book Antiqua"/>
                <w:b w:val="0"/>
                <w:sz w:val="24"/>
              </w:rPr>
              <w:t>.</w:t>
            </w:r>
          </w:p>
          <w:p w14:paraId="5FF125F2" w14:textId="132F06C5"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Visas įstaigos turtas, įrašytas balanse, išskyrus nuosavus skolos vertybinius popierius ir nuosavas nuosavybės priemones, kai taikomi apskaitos standartai leidžia juos pripažinti balanse</w:t>
            </w:r>
            <w:r w:rsidR="00173491">
              <w:rPr>
                <w:rStyle w:val="TeksttreciTimesNewRoman105ptOdstpy0pt"/>
                <w:rFonts w:eastAsiaTheme="minorEastAsia"/>
                <w:sz w:val="24"/>
              </w:rPr>
              <w:t>.</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Šioje eilutėje nurodoma vertė yra 030, 040 ir 120 eilučių ankstesnių dvylikos mėnesių keturių ketvirtinių laikotarpio pabaigos verčių sumų mediana.</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Nuosavybės priemonės</w:t>
            </w:r>
          </w:p>
          <w:p w14:paraId="7AF81C4D" w14:textId="0E237535" w:rsidR="004D0B28" w:rsidRPr="00660933" w:rsidRDefault="004D0B28" w:rsidP="00FA2707">
            <w:pPr>
              <w:spacing w:after="120"/>
              <w:jc w:val="both"/>
              <w:rPr>
                <w:rFonts w:ascii="Times New Roman" w:hAnsi="Times New Roman" w:cs="Times New Roman"/>
                <w:bCs/>
                <w:sz w:val="24"/>
              </w:rPr>
            </w:pPr>
            <w:r w:rsidRPr="00660933">
              <w:rPr>
                <w:rStyle w:val="InstructionsTabelleberschrift"/>
                <w:rFonts w:ascii="Times New Roman" w:hAnsi="Times New Roman"/>
                <w:b w:val="0"/>
                <w:sz w:val="24"/>
              </w:rPr>
              <w:t>Nuosavybės priemonių, kaip apibrėžta taikomuose apskaitos principuose (TFAS taikančių įstaigų atveju – 32-ojo TAS 1 straipsnyje)</w:t>
            </w:r>
            <w:r w:rsidRPr="00660933">
              <w:rPr>
                <w:rStyle w:val="InstructionsTabelleberschrift"/>
                <w:rFonts w:ascii="Times New Roman" w:hAnsi="Times New Roman"/>
                <w:b w:val="0"/>
                <w:sz w:val="24"/>
                <w:u w:val="none"/>
              </w:rPr>
              <w:t>, išskyrus nuosavas nuosavybės priemones, kai pagal taikomus apskaitos standartus leidžiama jas pripažinti balanse, medianinės vertės</w:t>
            </w:r>
            <w:r w:rsidR="00173491" w:rsidRPr="00660933">
              <w:rPr>
                <w:rStyle w:val="InstructionsTabelleberschrift"/>
                <w:rFonts w:ascii="Times New Roman" w:hAnsi="Times New Roman"/>
                <w:b w:val="0"/>
                <w:sz w:val="24"/>
                <w:u w:val="none"/>
              </w:rPr>
              <w:t>.</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Skolos vertybiniai popieriai</w:t>
            </w:r>
          </w:p>
          <w:p w14:paraId="2475D73D" w14:textId="01542A3B"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turimų skolos vertybinių popierių, išleistų kaip vertybiniai popieriai, kurie nėra paskolos pagal Europos Centrinio Banko reglamentą (ES) Nr. 1071/2013</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xml:space="preserve"> (toliau – ECB BSI reglamentas), išskyrus nuosavus skolos vertybinius popierius, kai pagal taikomus apskaitos standartus leidžiama juos pripažinti balanse, medianinės vertės</w:t>
            </w:r>
            <w:r w:rsidR="00173491">
              <w:rPr>
                <w:rStyle w:val="TeksttreciTimesNewRoman105ptOdstpy0pt"/>
                <w:rFonts w:eastAsiaTheme="minorEastAsia"/>
                <w:sz w:val="24"/>
              </w:rPr>
              <w:t>.</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padengtosios obligacijos</w:t>
            </w:r>
          </w:p>
          <w:p w14:paraId="748C292B" w14:textId="14E4C0D9"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660933">
              <w:rPr>
                <w:rStyle w:val="TeksttreciTimesNewRoman105ptOdstpy0pt"/>
                <w:rFonts w:eastAsiaTheme="minorEastAsia"/>
                <w:sz w:val="24"/>
                <w:u w:val="single"/>
              </w:rPr>
              <w:t>Įstaigos turimų skolos vertybinių popierių</w:t>
            </w:r>
            <w:r>
              <w:rPr>
                <w:rStyle w:val="TeksttreciTimesNewRoman105ptOdstpy0pt"/>
                <w:rFonts w:eastAsiaTheme="minorEastAsia"/>
                <w:sz w:val="24"/>
              </w:rPr>
              <w:t>, kuriuos sudaro obligacijos, nurodytos Direktyvos 2009/65/EB</w:t>
            </w:r>
            <w:r>
              <w:rPr>
                <w:rStyle w:val="FootnoteReference"/>
                <w:rFonts w:eastAsia="Calibri" w:cs="Times New Roman"/>
                <w:color w:val="000000"/>
                <w:spacing w:val="4"/>
                <w:shd w:val="clear" w:color="auto" w:fill="FFFFFF"/>
              </w:rPr>
              <w:footnoteReference w:id="4"/>
            </w:r>
            <w:r>
              <w:rPr>
                <w:rStyle w:val="TeksttreciTimesNewRoman105ptOdstpy0pt"/>
                <w:rFonts w:eastAsiaTheme="minorEastAsia"/>
                <w:sz w:val="24"/>
              </w:rPr>
              <w:t xml:space="preserve"> 52 straipsnio 4 dalies pirmoje pastraipoje, nepriklausomai nuo to, ar tos priemonės teisiškai yra vertybiniai popieriai, medianinės vertės</w:t>
            </w:r>
            <w:r w:rsidR="00173491">
              <w:rPr>
                <w:rStyle w:val="TeksttreciTimesNewRoman105ptOdstpy0pt"/>
                <w:rFonts w:eastAsiaTheme="minorEastAsia"/>
                <w:sz w:val="24"/>
              </w:rPr>
              <w:t>.</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iš jų: pakeitimo vertybiniais popieriais priemonės </w:t>
            </w:r>
          </w:p>
          <w:p w14:paraId="04268754" w14:textId="26C70D24"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turimų skolos vertybinių popierių, kuriuos sudaro pakeitimo vertybiniais popieriais pozicijos, kaip apibrėžta KRR 4 straipsnio 1 dalies 62 punkte, medianinės vertės</w:t>
            </w:r>
            <w:r w:rsidR="00173491">
              <w:rPr>
                <w:rStyle w:val="TeksttreciTimesNewRoman105ptOdstpy0pt"/>
                <w:rFonts w:eastAsiaTheme="minorEastAsia"/>
                <w:sz w:val="24"/>
              </w:rPr>
              <w:t>.</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išleisti valdžios sektoriaus institucijų</w:t>
            </w:r>
          </w:p>
          <w:p w14:paraId="48D9C460" w14:textId="3D4FE7EC" w:rsidR="004D0B28" w:rsidRPr="00660933" w:rsidRDefault="004D0B28" w:rsidP="00FA2707">
            <w:pPr>
              <w:autoSpaceDE w:val="0"/>
              <w:autoSpaceDN w:val="0"/>
              <w:adjustRightInd w:val="0"/>
              <w:spacing w:after="120"/>
              <w:jc w:val="both"/>
              <w:rPr>
                <w:rFonts w:ascii="Times New Roman" w:hAnsi="Times New Roman" w:cs="Times New Roman"/>
                <w:b/>
                <w:sz w:val="24"/>
              </w:rPr>
            </w:pPr>
            <w:r w:rsidRPr="00660933">
              <w:rPr>
                <w:rStyle w:val="InstructionsTabelleberschrift"/>
                <w:rFonts w:ascii="Times New Roman" w:hAnsi="Times New Roman"/>
                <w:b w:val="0"/>
                <w:sz w:val="24"/>
              </w:rPr>
              <w:t>Įstaigos turimų skolos vertybinių popierių, kuriuos išleido valdžios sektoriaus institucijos</w:t>
            </w:r>
            <w:r w:rsidRPr="00660933">
              <w:rPr>
                <w:rStyle w:val="InstructionsTabelleberschrift"/>
                <w:rFonts w:ascii="Times New Roman" w:hAnsi="Times New Roman"/>
                <w:b w:val="0"/>
                <w:sz w:val="24"/>
                <w:u w:val="none"/>
              </w:rPr>
              <w:t>, medianinės vertės</w:t>
            </w:r>
            <w:r w:rsidR="00173491" w:rsidRPr="00660933">
              <w:rPr>
                <w:rStyle w:val="InstructionsTabelleberschrift"/>
                <w:rFonts w:ascii="Times New Roman" w:hAnsi="Times New Roman"/>
                <w:b w:val="0"/>
                <w:sz w:val="24"/>
                <w:u w:val="none"/>
              </w:rPr>
              <w:t>.</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išleisti finansų bendrovių</w:t>
            </w:r>
          </w:p>
          <w:p w14:paraId="005AD8A7" w14:textId="063CDA39" w:rsidR="004D0B28" w:rsidRPr="00660933" w:rsidRDefault="004D0B28" w:rsidP="00FA2707">
            <w:pPr>
              <w:autoSpaceDE w:val="0"/>
              <w:autoSpaceDN w:val="0"/>
              <w:adjustRightInd w:val="0"/>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rPr>
              <w:t xml:space="preserve">Įstaigos turimų skolos vertybinių popierių, kuriuos išleido kredito įstaigos, kaip apibrėžta KRR 4 straipsnio 1 dalies 1 punkte, ir kitos finansų bendrovės, </w:t>
            </w:r>
            <w:r w:rsidRPr="00660933">
              <w:rPr>
                <w:rStyle w:val="InstructionsTabelleberschrift"/>
                <w:rFonts w:ascii="Times New Roman" w:hAnsi="Times New Roman"/>
                <w:b w:val="0"/>
                <w:sz w:val="24"/>
                <w:u w:val="none"/>
              </w:rPr>
              <w:t>medianinės vertės</w:t>
            </w:r>
            <w:r w:rsidR="00173491" w:rsidRPr="00660933">
              <w:rPr>
                <w:rStyle w:val="InstructionsTabelleberschrift"/>
                <w:rFonts w:ascii="Times New Roman" w:hAnsi="Times New Roman"/>
                <w:b w:val="0"/>
                <w:sz w:val="24"/>
                <w:u w:val="none"/>
              </w:rPr>
              <w:t>.</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Kitos finansų bendrovės – 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išleisti ne finansų bendrovių</w:t>
            </w:r>
          </w:p>
          <w:p w14:paraId="72148130" w14:textId="678C6923" w:rsidR="004D0B28" w:rsidRPr="00C83CCD" w:rsidRDefault="004D0B28" w:rsidP="00FA2707">
            <w:pPr>
              <w:autoSpaceDE w:val="0"/>
              <w:autoSpaceDN w:val="0"/>
              <w:adjustRightInd w:val="0"/>
              <w:spacing w:after="120"/>
              <w:jc w:val="both"/>
              <w:rPr>
                <w:rFonts w:ascii="Times New Roman" w:hAnsi="Times New Roman"/>
                <w:sz w:val="24"/>
              </w:rPr>
            </w:pPr>
            <w:r w:rsidRPr="00660933">
              <w:rPr>
                <w:rStyle w:val="TeksttreciTimesNewRoman105ptOdstpy0pt"/>
                <w:rFonts w:eastAsiaTheme="minorEastAsia"/>
                <w:sz w:val="24"/>
                <w:u w:val="single"/>
              </w:rPr>
              <w:t>Įstaigos turimų skolos vertybinių popierių, kuriuos išleido</w:t>
            </w:r>
            <w:r>
              <w:rPr>
                <w:rStyle w:val="TeksttreciTimesNewRoman105ptOdstpy0pt"/>
                <w:rFonts w:eastAsiaTheme="minorEastAsia"/>
                <w:sz w:val="24"/>
              </w:rPr>
              <w:t xml:space="preserve"> finansiniu tarpininkavimu nesiverčiančios bendrovės ir kvazikorporacijos, kurių pagrindinė veikla yra rinkos prekių gamyba ir nefinansinių paslaugų teikimas pagal ECB BSI reglamentą, medianinės vertės</w:t>
            </w:r>
            <w:r w:rsidR="00173491">
              <w:rPr>
                <w:rStyle w:val="TeksttreciTimesNewRoman105ptOdstpy0pt"/>
                <w:rFonts w:eastAsiaTheme="minorEastAsia"/>
                <w:sz w:val="24"/>
              </w:rPr>
              <w:t>.</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Kitas turtas</w:t>
            </w:r>
          </w:p>
          <w:p w14:paraId="03F52EE0" w14:textId="10AA58E8"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Kito balanse įrašyto įstaigos turto, išskyrus atskleistą pirmiau nurodytose eilutėse, kuris nėra nuosavi skolos vertybiniai popieriai ir nuosavos nuosavybės priemonės, kurių pripažinimo balanse TFAS netaikanti įstaiga negali nutraukti, medianinė vertė</w:t>
            </w:r>
            <w:r w:rsidR="00173491">
              <w:rPr>
                <w:rStyle w:val="TeksttreciTimesNewRoman105ptOdstpy0pt"/>
                <w:rFonts w:eastAsia="Book Antiqua"/>
                <w:sz w:val="24"/>
              </w:rPr>
              <w:t>.</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Šiuo atveju nuosavi skolos vertybiniai popieriai nurodomi EU AE2 formos 240 eilutėje, o nuosavos nuosavybės priemonės teikiant informaciją apie turto suvaržymą neįtraukiamos.</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Kitas turtas – grynieji pinigai (turimi nacionalinės ir užsienio valiutų banknotai ir monetos, esantys apyvartoje, paprastai naudojami mokėjimams atlikti), paskolos pagal pareikalavimą (TFAS taikančių įstaigų atveju – 1-ojo TAS 54 straipsnio i punktas), įskaitant pareikalavus gaunamas lėšas centriniuose bankuose ir kitose įstaigose. Kitas turtas taip pat apima paskolas ir kitus išankstinius mokėjimus, išskyrus paskolas pagal pareikalavimą, t. y. įstaigų turimas skolos priemones, kurios nėra vertybiniai popieriai, išskyrus pareikalavus gaunamas lėšas, įskaitant paskolas, užtikrintas nekilnojamuoju turtu, kaip apibrėžta Komisijos įgyvendinimo reglamento (ES) Nr. 680/2014 V priedo 2 dalies 86 punkto a papunktyje. Kitas turtas taip pat gali apimti nematerialųjį turtą, įskaitant prestižą, atidėtųjų mokesčių turtą, nekilnojamąjį turtą, įrangą ir kitą ilgalaikį turtą, išvestinių finansinių priemonių turtą, atvirkštinių atpirkimo sandorių ir akcijų skolinimosi gautinas sumas.</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Kai išlaikytų pakeitimo vertybiniais popieriais priemonių ir išlaikytų padengtųjų obligacijų pagrindinis turtas ir užtikrinamojo turto grupės turtas yra paskolos pagal pareikalavimą arba paskolos ir kiti išankstiniai mokėjimai, išskyrus paskolas pagal pareikalavimą, jis taip pat nurodomas šioje eilutėje.</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Suvaržyto turto balansinė vertė</w:t>
            </w:r>
          </w:p>
          <w:p w14:paraId="13A11BB5" w14:textId="7221730D" w:rsidR="004D0B28" w:rsidRPr="007F4CC8" w:rsidRDefault="004D0B28" w:rsidP="00FA2707">
            <w:pPr>
              <w:pStyle w:val="Fait"/>
              <w:spacing w:before="0" w:after="120"/>
              <w:rPr>
                <w:rStyle w:val="TeksttreciTimesNewRoman105ptOdstpy0pt"/>
                <w:rFonts w:eastAsia="Calibri"/>
              </w:rPr>
            </w:pPr>
            <w:r>
              <w:rPr>
                <w:rStyle w:val="TeksttreciTimesNewRoman105ptOdstpy0pt"/>
              </w:rPr>
              <w:t>Įstaigos turimo suvaržyto turto balansinės vertės medianinė vertė</w:t>
            </w:r>
            <w:r w:rsidR="00173491">
              <w:rPr>
                <w:rStyle w:val="TeksttreciTimesNewRoman105ptOdstpy0pt"/>
              </w:rPr>
              <w:t>.</w:t>
            </w:r>
            <w:r>
              <w:rPr>
                <w:rStyle w:val="TeksttreciTimesNewRoman105ptOdstpy0pt"/>
              </w:rPr>
              <w:t xml:space="preserve">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Balansinė vertė yra suma, nurodoma balanse turto dalyje.</w:t>
            </w:r>
          </w:p>
          <w:p w14:paraId="60948B61" w14:textId="77777777" w:rsidR="004D0B28" w:rsidRPr="007F4CC8" w:rsidRDefault="004D0B28" w:rsidP="00FA2707">
            <w:pPr>
              <w:pStyle w:val="Fait"/>
              <w:spacing w:before="0" w:after="120"/>
            </w:pPr>
            <w:r>
              <w:rPr>
                <w:rStyle w:val="TeksttreciTimesNewRoman105ptOdstpy0pt"/>
              </w:rPr>
              <w:t>Kiekvienos turto klasės atskleidžiama balansinė vertė yra skirtingų atskleidžiamų balansinių verčių kiekvieno informacijos atskleidimo laikotarpio, naudoto medianai apskaičiuoti, pabaigoje, medianinė vertė.</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jo: teoriškai atitinkantis EHQLA ir HQLA reikalavimus</w:t>
            </w:r>
          </w:p>
          <w:p w14:paraId="0B8EBF9E" w14:textId="0847B176"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Suvaržyto turto, kuris teoriškai atitinka reikalavimus, kad būtų laikomas itin didelio likvidumo ir itin aukštos kredito kokybės turtu (toliau – EHQLA) ir didelio likvidumo ir aukštos kredito kokybės turtu (toliau – HQLA), balansinės vertės medianinė vertė</w:t>
            </w:r>
            <w:r w:rsidR="00173491">
              <w:rPr>
                <w:rStyle w:val="TeksttreciTimesNewRoman105ptOdstpy0pt"/>
                <w:rFonts w:eastAsiaTheme="minorEastAsia"/>
                <w:sz w:val="24"/>
              </w:rPr>
              <w:t>.</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Šiame reglamente suvaržytas turtas, kuris teoriškai atitinka reikalavimus, kad būtų laikomas EHQLA ir HQLA, yra turtas, nurodytas Komisijos deleguotojo reglamento (ES) 2015/61</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xml:space="preserve"> 10, 11, 12, 13, 15 ir 16 straipsniuose, kuris atitiktų bendruosius bei veiklos reikalavimus, nustatytus to deleguotojo reglamento 7 ir 8 straipsniuose, jeigu nebūtų laikomas suvaržytu pagal Komisijos įgyvendinimo reglamento (ES) Nr. 680/2014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balansinė vertė yra balansinė vertė prieš pritaikant vertės mažinimą, nurodytą Deleguotojo reglamento (ES) 2015/61 10–16 straipsniuose.</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Kiekvienos turto klasės atskleidžiama balansinė vertė yra skirtingų atskleidžiamų balansinių verčių kiekvieno informacijos atskleidimo laikotarpio, naudoto medianai apskaičiuoti, pabaigoje, medianinė vertė.</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Suvaržyto turto tikroji vertė</w:t>
            </w:r>
          </w:p>
          <w:p w14:paraId="408AA293" w14:textId="416FB989" w:rsidR="004D0B28" w:rsidRPr="00660933" w:rsidRDefault="004D0B28" w:rsidP="00FA2707">
            <w:pPr>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rPr>
              <w:t xml:space="preserve">Informaciją atskleidžiančios įstaigos turimų skolos vertybinių popierių, kurie yra suvaržyti pagal turto suvaržymo apibrėžtį, tikrosios vertės </w:t>
            </w:r>
            <w:r w:rsidRPr="00660933">
              <w:rPr>
                <w:rStyle w:val="InstructionsTabelleberschrift"/>
                <w:rFonts w:ascii="Times New Roman" w:hAnsi="Times New Roman"/>
                <w:b w:val="0"/>
                <w:sz w:val="24"/>
                <w:u w:val="none"/>
              </w:rPr>
              <w:t>medianinė vertė</w:t>
            </w:r>
            <w:r w:rsidR="00173491" w:rsidRPr="00660933">
              <w:rPr>
                <w:rStyle w:val="InstructionsTabelleberschrift"/>
                <w:rFonts w:ascii="Times New Roman" w:hAnsi="Times New Roman"/>
                <w:b w:val="0"/>
                <w:sz w:val="24"/>
                <w:u w:val="none"/>
              </w:rPr>
              <w:t>.</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 xml:space="preserve">Finansinės priemonės tikroji vertė yra kaina, už kurią vertinimo dieną būtų parduotas turtas arba perleistas įsipareigojimas pagal tvarkingą sandorį tarp </w:t>
            </w:r>
            <w:r>
              <w:rPr>
                <w:rStyle w:val="InstructionsTabelleberschrift"/>
                <w:rFonts w:ascii="Times New Roman" w:hAnsi="Times New Roman"/>
                <w:b w:val="0"/>
                <w:sz w:val="24"/>
              </w:rPr>
              <w:lastRenderedPageBreak/>
              <w:t>rinkos dalyvių (žr. 13-ąjį TFAS „Tikrosios vertės nustatymas“ ir 13-ąjį TFAS, o TFAS netaikančių įstaigų atveju – Direktyvos 2013/34/ES</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8 straipsnį).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tikroji vertė yra skirtingų tikrųjų verčių, stebėtų kiekvieno informacijos atskleidimo laikotarpio, naudoto medianai apskaičiuoti, pabaigoje, medianinė vertė.</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jo: teoriškai atitinkantis EHQLA ir HQLA reikalavimus</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Suvaržyto turto, kuris teoriškai atitinka reikalavimus, kad būtų laikomas EHQLA ir HQLA, tikrosios vertės medianinė vertė. Šiame reglamente suvaržytas turtas, kuris teoriškai atitinka reikalavimus, kad būtų laikomas EHQLA ir HQLA, yra turtas, nurodytas Deleguotojo reglamento (ES) 2015/61 10, 11, 12, 13, 15 ir 16 straipsniuose, kuris atitiktų bendruosius bei veiklos reikalavimus, nustatytus Komisijos deleguotojo reglamento (ES) 2015/61 7 ir 8 straipsniuose, jeigu nebūtų laikomas suvaržytu pagal Komisijos įgyvendinimo reglamento (ES) Nr. 680/2014 XVII priedą. Suvaržytas turtas, teoriškai atitinkantis reikalavimus, kad būtų laikomas EHQLA ir HQLA, taip pat atitinka atskiroms pozicijų klasėms taikomus reikalavimus, nustatytus Komisijos deleguotojo reglamento (ES) 2015/61 10–16 ir 35–37 straipsniuose. Suvaržyto turto, kuris teoriškai atitinka reikalavimus, kad būtų laikomas EHQLA ir HQLA, tikroji vertė yra tikroji vertė prieš pritaikant vertės mažinimą, nurodytą Komisijos deleguotojo reglamento (ES) 2015/61 10–16 straipsniuose.</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tikroji vertė yra skirtingų tikrųjų verčių, stebėtų kiekvieno informacijos atskleidimo laikotarpio, naudoto medianai apskaičiuoti, pabaigoje, medianinė vertė.</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Nesuvaržyto turto balansinė vertė</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InstructionsTabelleberschrift"/>
                <w:rFonts w:ascii="Times New Roman" w:hAnsi="Times New Roman"/>
                <w:b w:val="0"/>
                <w:sz w:val="24"/>
              </w:rPr>
              <w:t xml:space="preserve">Įstaigos turimo turto, kuris yra nesuvaržytas pagal pateiktą turto suvaržymo apibrėžtį, balansinės vertės </w:t>
            </w:r>
            <w:r w:rsidRPr="00660933">
              <w:rPr>
                <w:rStyle w:val="InstructionsTabelleberschrift"/>
                <w:rFonts w:ascii="Times New Roman" w:hAnsi="Times New Roman"/>
                <w:b w:val="0"/>
                <w:sz w:val="24"/>
                <w:u w:val="none"/>
              </w:rPr>
              <w:t>medianinė vertė.</w:t>
            </w:r>
            <w:r>
              <w:rPr>
                <w:rStyle w:val="InstructionsTabelleberschrift"/>
                <w:rFonts w:ascii="Times New Roman" w:hAnsi="Times New Roman"/>
                <w:b w:val="0"/>
                <w:sz w:val="24"/>
              </w:rPr>
              <w:t xml:space="preserve"> Balansinė vertė yra suma, atskleista balanse turto dalyje.</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balansinė vertė yra skirtingų atskleidžiamų balansinių verčių kiekvieno informacijos atskleidimo laikotarpio, naudoto medianai apskaičiuoti, pabaigoje, medianinė vertė.</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jo: EHQLA ir HQLA</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Nesuvaržyto EHQLA ir HQLA, nurodyto Komisijos deleguotojo reglamento (ES) 2015/61 10, 11, 12, 13, 15 ir 16 straipsniuose ir atitinkančio bendruosius bei veiklos reikalavimus, nustatytus Komisijos deleguotojo reglamento (ES) 2015/61 7 ir 8 straipsniuose, taip pat atskiroms pozicijų klasėms taikomus reikalavimus, nustatytus Komisijos deleguotojo reglamento (ES) 2015/61 10–16 ir 35–37 straipsniuose, balansinės vertės medianinė vertė. EHQLA ir HQLA balansinė vertė yra </w:t>
            </w:r>
            <w:r>
              <w:rPr>
                <w:rStyle w:val="TeksttreciTimesNewRoman105ptOdstpy0pt"/>
                <w:rFonts w:eastAsiaTheme="minorEastAsia"/>
                <w:sz w:val="24"/>
              </w:rPr>
              <w:lastRenderedPageBreak/>
              <w:t>balansinė vertė prieš pritaikant vertės mažinimą, nurodytą Komisijos deleguotojo reglamento (ES) 2015/61 10–16 straipsniuose.</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Kiekvienos turto klasės atskleidžiama balansinė vertė yra skirtingų atskleidžiamų balansinių verčių kiekvieno informacijos atskleidimo laikotarpio, naudoto medianai apskaičiuoti, pabaigoje, medianinė vertė.</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Nesuvaržyto turto tikroji vertė</w:t>
            </w:r>
          </w:p>
          <w:p w14:paraId="69453216" w14:textId="77777777" w:rsidR="004D0B28" w:rsidRPr="00C83CCD" w:rsidRDefault="004D0B28" w:rsidP="00FA2707">
            <w:pPr>
              <w:spacing w:after="120"/>
              <w:rPr>
                <w:rFonts w:ascii="Times New Roman" w:hAnsi="Times New Roman" w:cs="Times New Roman"/>
                <w:sz w:val="24"/>
              </w:rPr>
            </w:pPr>
            <w:r w:rsidRPr="00660933">
              <w:rPr>
                <w:rStyle w:val="TeksttreciTimesNewRoman105ptOdstpy0pt"/>
                <w:rFonts w:eastAsiaTheme="minorEastAsia"/>
                <w:sz w:val="24"/>
                <w:u w:val="single"/>
              </w:rPr>
              <w:t>Įstaigos turimų nesuvaržytų skolos vertybinių popierių tikrosios vertės</w:t>
            </w:r>
            <w:r>
              <w:rPr>
                <w:rStyle w:val="TeksttreciTimesNewRoman105ptOdstpy0pt"/>
                <w:rFonts w:eastAsiaTheme="minorEastAsia"/>
                <w:sz w:val="24"/>
              </w:rPr>
              <w:t xml:space="preserve"> medianinė vertė.</w:t>
            </w:r>
            <w:r>
              <w:rPr>
                <w:rStyle w:val="InstructionsTabelleberschrift"/>
                <w:rFonts w:ascii="Times New Roman" w:hAnsi="Times New Roman"/>
                <w:b w:val="0"/>
                <w:sz w:val="24"/>
              </w:rPr>
              <w:t xml:space="preserve"> Finansinės priemonės tikroji vertė yra kaina, už kurią vertinimo dieną būtų parduotas turtas arba perleistas įsipareigojimas pagal tvarkingą sandorį tarp rinkos dalyvių (žr. 13-ąjį TFAS „Tikrosios vertės nustatymas“, 13-ąjį TFAS ir Direktyvos 2013/34/ES 8 straipsnį).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Kiekvienos turto klasės atskleidžiama tikroji vertė yra skirtingų tikrųjų verčių, stebėtų kiekvieno informacijos atskleidimo laikotarpio, naudoto medianai apskaičiuoti, pabaigoje, medianinė vertė.</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jo: EHQLA ir HQLA</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Nesuvaržyto EHQLA ir HQLA, nurodyto Komisijos deleguotojo reglamento (ES) 2015/61 10, 11, 12, 13, 15 ir 16 straipsniuose ir atitinkančio bendruosius bei veiklos reikalavimus, nustatytus Komisijos deleguotojo reglamento (ES) 2015/61 7 ir 8 straipsniuose, taip pat atskiroms pozicijų klasėms taikomus reikalavimus, nustatytus Komisijos deleguotojo reglamento (ES) 2015/61 10–16 ir 35–37 straipsniuose, tikrosios vertės medianinė vertė. EHQLA ir HQLA tikroji vertė yra tikroji vertė prieš pritaikant vertės mažinimą, nurodytą Komisijos deleguotojo reglamento (ES) 2015/61 10–16 straipsniuose.</w:t>
            </w:r>
          </w:p>
          <w:p w14:paraId="293008E8" w14:textId="77777777" w:rsidR="004D0B28" w:rsidRPr="007F4CC8" w:rsidRDefault="004D0B28" w:rsidP="00FA2707">
            <w:pPr>
              <w:pStyle w:val="Fait"/>
              <w:spacing w:before="0" w:after="120"/>
            </w:pPr>
            <w:r>
              <w:rPr>
                <w:rStyle w:val="TeksttreciTimesNewRoman105ptOdstpy0pt"/>
              </w:rPr>
              <w:t>Kiekvienos turto klasės atskleidžiama tikroji vertė yra skirtingų tikrųjų verčių, stebėtų kiekvieno informacijos atskleidimo laikotarpio, naudoto medianai apskaičiuoti, pabaigoje, medianinė vertė.</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EU AE2 forma. Gautos užtikrinimo priemonės ir išleisti nuosavi skolos vertybiniai popieriai</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Pildydamos šio įgyvendinimo reglamento XXXV priede pateiktą EU AE2 formą įstaigos vadovaujasi toliau pateiktais nurodymais.</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Nuorodos į teisės aktus ir nurodymai</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Paaiškinimas</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Informaciją atskleidžiančios įstaigos gautos užtikrinimo priemonės</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Visos įstaigos gautų užtikrinimo priemonių klasės. Šioje eilutėje nurodomi visi vertybiniai popieriai, kuriuos įstaiga skolininkė gavo per visus vertybinių popierių skolinimosi sandorius. Bendra įstaigos gautų užtikrinimo priemonių suma yra 140–160, 220 ir 230 eilučių ankstesnių dvylikos mėnesių keturių ketvirtinių laikotarpio pabaigos verčių sumų mediana.</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Paskolos pagal pareikalavimą</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lastRenderedPageBreak/>
              <w:t>Šioje eilutėje nurodoma įstaigos gautų užtikrinimo priemonių, kurias sudaro paskolos pagal pareikalavimą (žr. nuorodas į teisės aktus ir nurodymus dėl EU AE1 formos 120 eilutės), medianinė vertė. Įtraukiami visi vertybiniai popieriai, kuriuos įstaiga skolininkė gavo per visus vertybinių popierių skolinimosi sandorius.</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Nuosavybės priemonės</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nuosavybės priemonės (žr. nuorodas į teisės aktus ir nurodymus dėl EU AE1 formos 030 eilutės), medianinė vertė. Įtraukiami visi vertybiniai popieriai, kuriuos įstaiga skolininkė gavo per visus vertybinių popierių skolinimosi sandorius.</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Skolos vertybiniai popieriai</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skolos vertybiniai popieriai (žr. nuorodas į teisės aktus ir nurodymus dėl EU AE1 formos 040 eilutės), medianinė vertė. Įtraukiami visi vertybiniai popieriai, kuriuos įstaiga skolininkė gavo per visus vertybinių popierių skolinimosi sandorius.</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padengtosios obligacijos</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padengtosios obligacijos (žr. nuorodas į teisės aktus ir nurodymus dėl EU AE1 formos 050 eilutės), medianinė vertė. Įtraukiami visi vertybiniai popieriai, kuriuos įstaiga skolininkė gavo per visus vertybinių popierių skolinimosi sandorius.</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pakeitimo vertybiniais popieriais priemonės</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turtu užtikrinti vertybiniai popieriai (žr. nuorodas į teisės aktus ir nurodymus dėl EU AE1 formos 060 eilutės), medianinė vertė. Įtraukiami visi vertybiniai popieriai, kuriuos įstaiga skolininkė gavo per visus vertybinių popierių skolinimosi sandorius.</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išleisti valdžios sektoriaus institucijų</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skolos vertybiniai popieriai, išleisti valdžios sektoriaus institucijų (žr. nuorodas į teisės aktus ir nurodymus dėl EU AE1 formos 070 eilutės), medianinė vertė. Įtraukiami visi vertybiniai popieriai, kuriuos įstaiga skolininkė gavo per visus vertybinių popierių skolinimosi sandorius.</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išleisti finansų bendrovių</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Įstaigos gautų užtikrinimo priemonių, kurias sudaro skolos vertybiniai popieriai, išleisti finansų bendrovių (žr. nuorodas į teisės aktus ir nurodymus dėl EU AE1 formos 080 eilutės), medianinė vertė. Įtraukiami visi vertybiniai popieriai, kuriuos įstaiga skolininkė gavo per visus vertybinių popierių skolinimosi sandorius.</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jų: išleisti ne finansų bendrovių</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 xml:space="preserve">Įstaigos gautų užtikrinimo priemonių, kurias sudaro ne finansų bendrovių išleisti skolos vertybiniai popieriai (žr. nuorodas į teisės aktus ir nurodymus </w:t>
            </w:r>
            <w:r>
              <w:rPr>
                <w:rStyle w:val="TeksttreciTimesNewRoman105ptOdstpy0pt"/>
                <w:rFonts w:eastAsiaTheme="minorEastAsia"/>
                <w:sz w:val="24"/>
              </w:rPr>
              <w:lastRenderedPageBreak/>
              <w:t>dėl EU AE1 formos 090 eilutės), medianinė vertė. Įtraukiami visi vertybiniai popieriai, kuriuos įstaiga skolininkė gavo per visus vertybinių popierių skolinimosi sandorius.</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Paskolos ir išankstiniai mokėjimai, išskyrus paskolas pagal pareikalavimą</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Įstaigos gautų užtikrinimo priemonių, kurias sudaro paskolos ir kiti išankstiniai mokėjimai, išskyrus paskolas pagal pareikalavimą (žr. nuorodas į teisės aktus ir nurodymus dėl EU AE1 formos 120 eilutės), medianinė vertė. Įtraukiami visi vertybiniai popieriai, kuriuos įstaiga skolininkė gavo per visus vertybinių popierių skolinimosi sandorius.</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Kitos gautos užtikrinimo priemonės</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Įstaigos gautų užtikrinimo priemonių, kurias sudaro kitas turtas (žr. nuorodas į teisės aktus ir nurodymus dėl EU AE1 formos 120 eilutės), medianinė vertė. Įtraukiami visi vertybiniai popieriai, kuriuos įstaiga skolininkė gavo per visus vertybinių popierių skolinimosi sandorius.</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Išleisti nuosavi skolos vertybiniai popieriai, išskyrus nuosavas padengtąsias obligacijas arba pakeitimo vertybiniais popieriais priemones</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Išleistų nuosavų skolos vertybinių popierių, išskyrus nuosavas padengtąsias obligacijas arba pakeitimo vertybiniais popieriais priemones, medianinė vertė. Išlaikyti arba atpirkti išleisti nuosavi skolos vertybiniai popieriai, TFAS taikančių įstaigų atveju vadovaujantis 39-ojo TAS 42 straipsniu, mažina susijusius finansinius įsipareigojimus, todėl šie vertybiniai popieriai neįtraukiami į informaciją atskleidžiančios įstaigos turto kategoriją. Šioje eilutėje nurodomi nuosavi skolos vertybiniai popieriai, kurių pripažinimo balanse TFAS netaikanti įstaiga negali nutraukti.</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Išleistos dar neįkeistos nuosavos padengtosios obligacijos ir pakeitimo vertybiniais popieriais priemonės</w:t>
            </w:r>
          </w:p>
          <w:p w14:paraId="65BC8D0D" w14:textId="77777777" w:rsidR="004D0B28" w:rsidRPr="00253301" w:rsidRDefault="004D0B28" w:rsidP="00FA2707">
            <w:pPr>
              <w:spacing w:after="120"/>
              <w:rPr>
                <w:rStyle w:val="TeksttreciTimesNewRoman105ptOdstpy0pt"/>
                <w:rFonts w:eastAsia="Calibri"/>
                <w:sz w:val="24"/>
              </w:rPr>
            </w:pPr>
            <w:r w:rsidRPr="00660933">
              <w:rPr>
                <w:rStyle w:val="TeksttreciTimesNewRoman105ptOdstpy0pt"/>
                <w:rFonts w:eastAsiaTheme="minorEastAsia"/>
                <w:sz w:val="24"/>
                <w:u w:val="single"/>
              </w:rPr>
              <w:t>Nesuvaržytų išleistų nuosavų padengtųjų obligacijų ir pakeitimo vertybiniais popieriais priemonių, kurias išlaiko informaciją atskleidžianti įstaiga,</w:t>
            </w:r>
            <w:r>
              <w:rPr>
                <w:rStyle w:val="TeksttreciTimesNewRoman105ptOdstpy0pt"/>
                <w:rFonts w:eastAsiaTheme="minorEastAsia"/>
                <w:sz w:val="24"/>
              </w:rPr>
              <w:t xml:space="preserve"> medianinė vertė. Siekiant išvengti dvigubo skaičiavimo, informaciją atskleidžiančios įstaigos išleistoms išlaikytoms nuosavoms padengtosioms obligacijoms ir pakeitimo vertybiniais popieriais priemonėms taikoma ši taisyklė:</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kai tie vertybiniai popieriai įkeičiami, užtikrinamojo turto grupės ir (arba) pagrindinio turto, kuriais jie užtikrinami, suma nurodoma EU AE1 formoje kaip suvaržytas turtas. Finansavimo šaltinis nuosavų padengtųjų obligacijų ir pakeitimo vertybiniais popieriais priemonių įkeitimo atveju yra naujas sandoris, kurio metu įkeičiami vertybiniai popieriai (centrinio banko finansavimas ar kitų rūšių užtikrintas finansavimas), o ne pradinė padengtųjų obligacijų emisija ar pakeitimo vertybiniais popieriais priemonės;</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lastRenderedPageBreak/>
              <w:t>b) kai tie vertybiniai popieriai dar neįkeisti, užtikrinamojo turto grupės ir (arba) pagrindinio turto, kuriais tie vertybiniai popieriai užtikrinami, suma atskleidžiama EU AE1 formoje kaip nesuvaržytas turtas.</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Bendra gautų užtikrinimo priemonių ir išleistų nuosavų skolos vertybinių popierių suma</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Įstaigos gautos visų klasių užtikrinimo priemonės ir išlaikyti išleisti nuosavi skolos vertybiniai popieriai, kurie nėra išleistos nuosavos padengtosios obligacijos arba išleistos nuosavos pakeitimo vertybiniais popieriais priemonės.</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Šioje eilutėje įrašoma EU AE1 formos 010 eilutės ir EU AE2 formos 130 ir 240 eilučių medianinių verčių suma.</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Gautų suvaržytų užtikrinimo priemonių arba išleistų nuosavų skolos vertybinių popierių tikroji vertė</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Suvaržytų gautų užtikrinimo priemonių, tarp jų ir gautų vykdant visus vertybinių popierių skolinimosi sandorius, arba išleistų įstaigos turimų ir (arba) išlaikytų nuosavų skolos vertybinių popierių tikrosios vertės mediana pagal KRR 100 straipsnį.</w:t>
            </w:r>
          </w:p>
          <w:p w14:paraId="1BFFC7CF" w14:textId="77777777" w:rsidR="004D0B28" w:rsidRPr="00253301" w:rsidRDefault="004D0B28" w:rsidP="00FA2707">
            <w:pPr>
              <w:pStyle w:val="Fait"/>
              <w:spacing w:before="0" w:after="120"/>
            </w:pPr>
            <w:r>
              <w:rPr>
                <w:rStyle w:val="TeksttreciTimesNewRoman105ptOdstpy0pt"/>
              </w:rPr>
              <w:t>Finansinės priemonės tikroji vertė yra kaina, už kurią vertinimo dieną būtų parduotas turtas arba perleistas įsipareigojimas pagal tvarkingą sandorį tarp rinkos dalyvių</w:t>
            </w:r>
            <w:r>
              <w:t xml:space="preserve"> (kaip TFAS taikančioms įstaigoms nurodyta 13-ajame TFAS „Tikrosios vertės nustatymas“).</w:t>
            </w:r>
            <w:r>
              <w:rPr>
                <w:rStyle w:val="TeksttreciTimesNewRoman105ptOdstpy0pt"/>
              </w:rPr>
              <w:t xml:space="preserve"> Kiekvieno užtikrinimo priemonės straipsnio atskleidžiama tikroji vertė yra skirtingų tikrųjų verčių, stebėtų kiekvieno informacijos atskleidimo laikotarpio, naudoto medianai apskaičiuoti, pabaigoje, medianinė vertė.</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t>030</w:t>
            </w:r>
          </w:p>
        </w:tc>
        <w:tc>
          <w:tcPr>
            <w:tcW w:w="7655" w:type="dxa"/>
          </w:tcPr>
          <w:p w14:paraId="4181264F" w14:textId="2511E41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w:t>
            </w:r>
            <w:r w:rsidR="00660933">
              <w:rPr>
                <w:rStyle w:val="PogrubienieTeksttreciTimesNewRoman105ptOdstpy0pt"/>
                <w:rFonts w:eastAsia="Book Antiqua"/>
                <w:sz w:val="24"/>
              </w:rPr>
              <w:t>o</w:t>
            </w:r>
            <w:r>
              <w:rPr>
                <w:rStyle w:val="PogrubienieTeksttreciTimesNewRoman105ptOdstpy0pt"/>
                <w:rFonts w:eastAsia="Book Antiqua"/>
                <w:sz w:val="24"/>
              </w:rPr>
              <w:t>: teoriškai atitinka</w:t>
            </w:r>
            <w:r w:rsidR="000D1B6D">
              <w:rPr>
                <w:rStyle w:val="PogrubienieTeksttreciTimesNewRoman105ptOdstpy0pt"/>
                <w:rFonts w:eastAsia="Book Antiqua"/>
                <w:sz w:val="24"/>
              </w:rPr>
              <w:t>ntis</w:t>
            </w:r>
            <w:r>
              <w:rPr>
                <w:rStyle w:val="PogrubienieTeksttreciTimesNewRoman105ptOdstpy0pt"/>
                <w:rFonts w:eastAsia="Book Antiqua"/>
                <w:sz w:val="24"/>
              </w:rPr>
              <w:t xml:space="preserve"> EHQLA ir HQLA reikalavimus</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tikrosios vertės medianinė vertė. Šiame reglamente suvaržytas turtas, kuris teoriškai atitinka reikalavimus, kad būtų laikomas EHQLA ir HQLA, yra gautų užtikrinimo priemonių straipsniai arba išleisti įstaigos turimi ir (arba) išlaikyti nuosavi skolos vertybiniai popieriai, išvardyti Komisijos deleguotojo reglamento (ES) 2015/61 10, 11, 12, 13, 15 ir 16 straipsniuose, kurie atitiktų bendruosius bei veiklos reikalavimus, nustatytus Komisijos deleguotojo reglamento (ES) 2015/61 7 ir 8 straipsniuose, jeigu nebūtų laikomi suvaržytu turtu pagal Komisijos įgyvendinimo reglamento (ES) Nr. 680/2014 XVII priedą. Suvaržytas turtas, teoriškai atitinkantis reikalavimus, kad būtų laikomas EHQLA ir HQLA, taip pat atitinka </w:t>
            </w:r>
            <w:r>
              <w:rPr>
                <w:rStyle w:val="TeksttreciTimesNewRoman105ptOdstpy0pt"/>
                <w:rFonts w:eastAsiaTheme="minorEastAsia"/>
                <w:sz w:val="24"/>
              </w:rPr>
              <w:lastRenderedPageBreak/>
              <w:t>atskiroms pozicijų klasėms taikomus reikalavimus, nustatytus Komisijos deleguotojo reglamento (ES) 2015/61 10–16 ir 35–37 straipsniuose. Suvaržyto turto, kuris teoriškai atitinka reikalavimus, kad būtų laikomas EHQLA ir HQLA, tikroji vertė yra tikroji vertė prieš pritaikant vertės mažinimą, nurodytą Komisijos deleguotojo reglamento (ES) 2015/61 10–16 straipsniuose.</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Kiekvieno užtikrinimo priemonės straipsnio atskleidžiama tikroji vertė yra skirtingų tikrųjų verčių, stebėtų kiekvieno informacijos atskleidimo laikotarpio, naudoto medianai apskaičiuoti, pabaigoje, medianinė vertė.</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Gautų užtikrinimo priemonių arba išleistų nuosavų skolos vertybinių popierių, kurie gali būti suvaržyti, tikroji vertė</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Įstaigos gautų nesuvaržytų užtikrinimo priemonių, tarp jų ir gautų vykdant visus vertybinių popierių skolinimosi sandorius, kurios gali būti suvaržytos, nes įstaigai leidžiama jas parduoti ar pakartotinai įkeisti, kai užtikrinimo priemonės savininkas vykdo įsipareigojimus, tikrosios vertės mediana. Taip pat įskaitoma nesuvaržytų išleistų nuosavų skolos vertybinių popierių, kurie gali būti suvaržyti, išskyrus nuosavas padengtąsias obligacijas ar pakeitimo vertybiniais popieriais pozicijas, tikroji vertė. Kiekvieno užtikrinimo priemonės straipsnio atskleidžiama tikroji vertė yra skirtingų tikrųjų verčių, stebėtų kiekvieno informacijos atskleidimo laikotarpio, naudoto medianai apskaičiuoti, pabaigoje, medianinė vertė.</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3A68079E"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iš j</w:t>
            </w:r>
            <w:r w:rsidR="00660933">
              <w:rPr>
                <w:rStyle w:val="PogrubienieTeksttreciTimesNewRoman105ptOdstpy0pt"/>
                <w:rFonts w:eastAsia="Book Antiqua"/>
                <w:sz w:val="24"/>
              </w:rPr>
              <w:t>o</w:t>
            </w:r>
            <w:r>
              <w:rPr>
                <w:rStyle w:val="PogrubienieTeksttreciTimesNewRoman105ptOdstpy0pt"/>
                <w:rFonts w:eastAsia="Book Antiqua"/>
                <w:sz w:val="24"/>
              </w:rPr>
              <w:t>: EHQLA ir HQLA</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 xml:space="preserve">Nesuvaržytų gautų užtikrinimo priemonių arba išleistų įstaigos turimų ir (arba) išlaikytų nuosavų skolos vertybinių popierių, išskyrus nuosavas padengtąsias obligacijas ar pakeitimo vertybiniais popieriais pozicijas, kurie gali būti suvaržyti ir kurie laikomi EHQLA ir HQLA, nurodytu Komisijos deleguotojo reglamento (ES) 2015/61 10, 11, 12, 13, 15 ir 16 straipsniuose ir atitinkančiu bendruosius bei veiklos reikalavimus, nustatytus Komisijos deleguotojo reglamento (ES) 2015/61 7 ir 8 straipsniuose, taip pat atskiroms pozicijų klasėms taikomus reikalavimus, nustatytus Komisijos deleguotojo reglamento (ES) 2015/61 10–16 ir 35–37 straipsniuose, tikrosios vertės medianinė vertė. EHQLA ir HQLA tikroji vertė yra tikroji vertė prieš pritaikant vertės mažinimą, nurodytą Komisijos deleguotojo reglamento (ES) 2015/61 10–16 straipsniuose.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EU AE3 forma. Suvaržymo šaltiniai</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Pildydamos šio įgyvendinimo reglamento XXXV priede pateiktą EU AE3 formą įstaigos vadovaujasi toliau pateiktais nurodymais.</w:t>
      </w:r>
    </w:p>
    <w:p w14:paraId="3841E2BE" w14:textId="77777777" w:rsidR="004D0B28" w:rsidRDefault="004D0B28" w:rsidP="004D0B28">
      <w:pPr>
        <w:spacing w:after="120"/>
        <w:rPr>
          <w:rFonts w:ascii="Times New Roman" w:hAnsi="Times New Roman" w:cs="Times New Roman"/>
        </w:rPr>
      </w:pPr>
    </w:p>
    <w:p w14:paraId="4B097219" w14:textId="77777777" w:rsidR="00173491" w:rsidRDefault="00173491" w:rsidP="004D0B28">
      <w:pPr>
        <w:spacing w:after="120"/>
        <w:rPr>
          <w:rFonts w:ascii="Times New Roman" w:hAnsi="Times New Roman" w:cs="Times New Roman"/>
        </w:rPr>
      </w:pPr>
    </w:p>
    <w:p w14:paraId="58842798" w14:textId="77777777" w:rsidR="00173491" w:rsidRDefault="00173491" w:rsidP="004D0B28">
      <w:pPr>
        <w:spacing w:after="120"/>
        <w:rPr>
          <w:rFonts w:ascii="Times New Roman" w:hAnsi="Times New Roman" w:cs="Times New Roman"/>
        </w:rPr>
      </w:pPr>
    </w:p>
    <w:p w14:paraId="6D3D0D0C" w14:textId="77777777" w:rsidR="00173491" w:rsidRPr="007F4CC8" w:rsidRDefault="00173491"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lastRenderedPageBreak/>
              <w:t>Nuorodos į teisės aktus ir nurodymai</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Paaiškinimas</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Tam tikrų finansinių įsipareigojimų balansinė vertė</w:t>
            </w:r>
          </w:p>
          <w:p w14:paraId="0FE7F5EA" w14:textId="5A2A6C89"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Įstaigos straipsnio „Tam tikrų finansinių įsipareigojimų balansinė vertė“, jeigu dėl šių įsipareigojimų tos įstaigos turtas yra suvaržytas, medianinė vertė</w:t>
            </w:r>
            <w:r w:rsidR="00173491">
              <w:rPr>
                <w:rStyle w:val="InstructionsTabelleberschrift"/>
                <w:rFonts w:ascii="Times New Roman" w:hAnsi="Times New Roman"/>
                <w:b w:val="0"/>
                <w:sz w:val="24"/>
              </w:rPr>
              <w:t>.</w:t>
            </w:r>
            <w:r>
              <w:rPr>
                <w:rStyle w:val="InstructionsTabelleberschrift"/>
                <w:rFonts w:ascii="Times New Roman" w:hAnsi="Times New Roman"/>
                <w:b w:val="0"/>
                <w:sz w:val="24"/>
              </w:rPr>
              <w:t xml:space="preserve">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Nuorodos į teisės aktus ir nurodymai</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Skilties numeris</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Paaiškinimas</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Suderinti įsipareigojimai, neapibrėžtieji įsipareigojimai arba paskolinti vertybiniai popieriai</w:t>
            </w:r>
          </w:p>
          <w:p w14:paraId="2684B4A7" w14:textId="2892A242"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Suderintų įsipareigojimų, neapibrėžtųjų įsipareigojimų (gautų kreditavimo įsipareigojimų ir gautų finansinių garantijų) arba paskolintų vertybinių popierių su nepinigine užtikrinimo priemone, jeigu dėl šių sandorių tos įstaigos turtas yra suvaržytas, medianinės vertės</w:t>
            </w:r>
            <w:r w:rsidR="00173491">
              <w:rPr>
                <w:rStyle w:val="TeksttreciTimesNewRoman105ptOdstpy0pt"/>
                <w:rFonts w:eastAsia="Book Antiqua"/>
                <w:sz w:val="24"/>
              </w:rPr>
              <w:t>.</w:t>
            </w:r>
            <w:r>
              <w:rPr>
                <w:rStyle w:val="TeksttreciTimesNewRoman105ptOdstpy0pt"/>
                <w:rFonts w:eastAsia="Book Antiqua"/>
                <w:sz w:val="24"/>
              </w:rPr>
              <w:t xml:space="preserve">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Finansiniai įsipareigojimai atskleidžiami balansine verte; neapibrėžtieji įsipareigojimai atskleidžiami nominaliąja verte; paskolinti vertybiniai popieriai su nepinigine užtikrinimo priemone atskleidžiami tikrosiomis vertėmis.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Atskleidžiama tikroji vertė yra skirtingų tikrųjų verčių, stebėtų kiekvieno informacijos atskleidimo laikotarpio, naudoto medianai apskaičiuoti, pabaigoje, medianinė vertė.</w:t>
            </w:r>
          </w:p>
          <w:p w14:paraId="2EACFADA" w14:textId="77777777" w:rsidR="004D0B28" w:rsidRPr="007F4CC8" w:rsidRDefault="004D0B28" w:rsidP="00FA2707">
            <w:pPr>
              <w:pStyle w:val="Fait"/>
              <w:spacing w:before="0" w:after="120"/>
            </w:pPr>
            <w:r>
              <w:rPr>
                <w:rStyle w:val="TeksttreciTimesNewRoman105ptOdstpy0pt"/>
              </w:rPr>
              <w:t>Įtraukiami įsipareigojimai be susijusio finansavimo, pvz., išvestinės finansinės priemonės.</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Suvaržytas turtas, gautos užtikrinimo priemonės ir išleisti nuosavi vertybiniai popieriai, išskyrus padengtąsias obligacijas ir pakeitimo vertybiniais popieriais priemones</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Turto, gautų užtikrinimo priemonių ir išleistų nuosavų vertybinių popierių (išskyrus padengtąsias obligacijas ir pakeitimo vertybiniais popieriais priemones), kurie yra suvaržyti dėl čia atskleidžiamų įvairių rūšių sandorių, suma.</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Siekiant užtikrinti suderinamumą su EU AE1 ir EU AE2 formų kriterijais, balanse įrašytas įstaigos turtas pateikiamas jo balansinės vertės medianine verte, o pakartotinai panaudotos gautos užtikrinimo priemonės ir suvaržyti išleisti nuosavi vertybiniai popieriai, išskyrus padengtąsias obligacijas ir pakeitimo vertybiniais popieriais priemones, pateikiami jų tikrosios vertės medianine verte. Atskleidžiama tikroji vertė yra skirtingų tikrųjų verčių, stebėtų kiekvieno informacijos atskleidimo laikotarpio, naudoto medianai apskaičiuoti, pabaigoje, medianinė vertė.</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lastRenderedPageBreak/>
              <w:t>Taip pat įtraukiamas suvaržytas turtas be suderintų įsipareigojimų.</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EU AE4 lentelė. Papildomos aiškinamosios pastabos</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Pildydamos šio įgyvendinimo reglamento XXXV priede pateiktą EU AE4 lentelę įstaigos vadovaujasi toliau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Nuorodos į teisės aktus ir nurodymai</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Paaiškinimas</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Bendrosios aiškinamosios pastabos apie turto suvaržymą apima:</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paaiškinimą, jei skiriasi reguliavimo konsolidavimo, taikomo atskleidžiant informaciją apie turto suvaržymą, taikymo sritis ir konsoliduoto likvidumo reikalavimų taikymo sritis, kaip apibrėžta KRR antros dalies I antraštinės dalies 2 skyriuje, pagal kurią apibrėžiama, ar turtas gali būti laikomas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paaiškinimą, jei įkeistas ir perleistas turtas pagal įstaigos taikomas apskaitos sistemas skiriasi nuo suvaržyto turto, ir nurodymą, kada sandoriai vertinami skirtingai, pvz., tais atvejais, kai laikoma, kad dėl kai kurių sandorių turtas bus įkeistas arba perleistas, bet ne suvaržytas, arba atvirkščiai;</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pozicijos vertę, naudotą atskleidžiant informaciją, ir paaiškinimą, kaip apskaičiuotos medianinės pozicijų vertės.</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Aprašomoji informacija, susijusi su įstaigos verslo modelio poveikiu jos turto suvaržymo lygiui ir su suvaržymo svarba įstaigos finansavimo modeliui, įskaitant:</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pagrindinius suvaržymo šaltinius ir rūšis, pateikiant išsamią informaciją, jei taikoma, apie suvaržymą dėl reikšmingos veiklos, susijusios su išvestinėmis finansinėmis priemonėmis, vertybinių popierių skolinimu, atpirkimo sandoriais, padengtųjų obligacijų leidimu ir pakeitimu vertybiniais popieriais;</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suvaržymo struktūrą tarp grupei priklausančių subjektų ir visų pirma tai, ar konsoliduotos grupės suvaržymo lygis priklauso nuo konkrečių subjektų ir ar yra reikšmingas turto suvaržymas grupės viduje;</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informaciją apie užtikrinimo priemonių perviršį, visų pirma susijusį su padengtosiomis obligacijomis ir pakeitimo vertybiniais popieriais priemonėmis, ir užtikrinimo </w:t>
            </w:r>
            <w:r>
              <w:rPr>
                <w:sz w:val="24"/>
              </w:rPr>
              <w:lastRenderedPageBreak/>
              <w:t>priemonių perviršio poveikį suvaržymo lygiui;</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papildomą informaciją apie turto, užtikrinimo priemonių ir nebalansinių straipsnių suvaržymą ir suvaržymo šaltinius pagal reikšmingas valiutas, kurios nėra teikiamoje informacijoje nurodoma valiuta, kaip nurodyta KRR 415 straipsnio 2 dalyje;</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bendrą straipsnių, kurie įtraukti į EU AE1 formos 060 skiltį „Nesuvaržyto turto balansinė vertė“ ir kurių įprastomis verslo sąlygomis įstaiga nelaikytų tokiais, kuriuos būtų galima suvaržyti (pvz., nematerialusis turtas, įskaitant prestižą, atidėtųjų mokesčių turtas, nekilnojamasis turtas, įranga ir kitas ilgalaikis turtas, išvestinių finansinių priemonių turtas, atvirkštinių atpirkimo sandorių ir akcijų skolinimosi gautinos sumos), proporcinės dalies aprašymą;</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išlaikytų pakeitimo vertybiniais popieriais priemonių ir išlaikytų padengtųjų obligacijų pagrindinio turto ir užtikrinamojo turto grupės turto sumą ir tai, ar tas pagrindinis ir užtikrinamojo turto grupės turtas yra suvaržytas, ar nesuvaržytas, taip pat susijusių išlaikytų pakeitimo vertybiniais popieriais priemonių ir išlaikytų padengtųjų obligacijų sumą;</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kai tai svarbu paaiškinant įstaigos verslo modelio poveikį jos turto suvaržymo lygiui – išsamią informaciją (prireikus ir kiekybinę informaciją) apie kiekvieną iš šių punktų:</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EU AE1 formos 120 eilutėje nurodyto suvaržyto ir nesuvaržyto turto rūšis ir sumas;</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EU AE3 formos 010 eilutėje nurodyto suvaržyto turto ir nebalansinių straipsnių, nesusijusių su jokiais įsipareigojimais, sumas ir rūšis;</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jei įstaiga pagal savo verslo modelį taiko suvaržymą, papildomą informaciją apie EU AE1, EU AE2 ir EU AE3 formų toliau nurodytų eilučių suskirstymą: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EU AE1 formos 120 eilutės „Kitas turtas“;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EU AE2 formos 230 eilutės „Kitos gautos užtikrinimo priemonės“;</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EU AE3 formos 010 eilutės „Tam tikrų finansinių įsipareigojimų balansinė vertė“ (ypač jeigu dalis turto suvaržymo yra susijusi su įsipareigojimais, o kita dalis – ne).</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CE892" w14:textId="77777777" w:rsidR="005A0C38" w:rsidRDefault="005A0C38" w:rsidP="004D0B28">
      <w:r>
        <w:separator/>
      </w:r>
    </w:p>
  </w:endnote>
  <w:endnote w:type="continuationSeparator" w:id="0">
    <w:p w14:paraId="79838EEF" w14:textId="77777777" w:rsidR="005A0C38" w:rsidRDefault="005A0C38"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76B40" w14:textId="77777777" w:rsidR="005A0C38" w:rsidRDefault="005A0C38" w:rsidP="004D0B28">
      <w:r>
        <w:separator/>
      </w:r>
    </w:p>
  </w:footnote>
  <w:footnote w:type="continuationSeparator" w:id="0">
    <w:p w14:paraId="2447D289" w14:textId="77777777" w:rsidR="005A0C38" w:rsidRDefault="005A0C38"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t>.</w:t>
      </w:r>
      <w:r>
        <w:rPr>
          <w:color w:val="800080"/>
          <w:u w:val="single"/>
        </w:rPr>
        <w:t xml:space="preserve"> </w:t>
      </w:r>
      <w:hyperlink r:id="rId2" w:history="1">
        <w:r>
          <w:rPr>
            <w:rStyle w:val="Hyperlink"/>
          </w:rPr>
          <w:t>Reglamentas (ES) 2024/1623 - LT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ab/>
        <w:t>2014 m. balandžio 16 d. KOMISIJOS ĮGYVENDINIMO REGLAMENTAS (ES) Nr. 680/2014, kuriuo pagal Europos Parlamento ir Tarybos reglamentą (ES) Nr. 575/2013 nustatomi įstaigų priežiūros ataskaitų teikimo techniniai įgyvendinimo standartai, (OL L 191, 2014 6 28, p.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t>2013 m. rugsėjo 24 d. EUROPOS CENTRINIO BANKO REGLAMENTAS (ES) Nr. 1071/2013 dėl pinigų finansų įstaigų sektoriaus balanso (ECB/2013/33) (OL L 297, 2013 11 7, p.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2009 m. liepos 13 d. EUROPOS PARLAMENTO IR TARYBOS DIREKTYVA 2009/65/EB dėl įstatymų ir kitų teisės aktų, susijusių su kolektyvinio investavimo į perleidžiamus vertybinius popierius subjektais (KIPVPS), derinimo (OL L 302, 2009 11 17, p.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2014 m. spalio 10 d. KOMISIJOS DELEGUOTASIS REGLAMENTAS (ES) 2015/61, kuriuo dėl kredito įstaigoms taikomo padengimo likvidžiuoju turtu reikalavimo papildomas Europos Parlamento ir Tarybos reglamentas (ES) Nr. 575/2013, (OL L 11, 2015 1 17, p.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0D1B6D"/>
    <w:rsid w:val="00173491"/>
    <w:rsid w:val="001D1147"/>
    <w:rsid w:val="002C1404"/>
    <w:rsid w:val="003019CD"/>
    <w:rsid w:val="004D0B28"/>
    <w:rsid w:val="005A0C38"/>
    <w:rsid w:val="005B1351"/>
    <w:rsid w:val="00660933"/>
    <w:rsid w:val="008A102D"/>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lt-LT"/>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lt-LT"/>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DA06F3-C3AB-4E3C-8DBD-D98F23F53AA4}"/>
</file>

<file path=customXml/itemProps2.xml><?xml version="1.0" encoding="utf-8"?>
<ds:datastoreItem xmlns:ds="http://schemas.openxmlformats.org/officeDocument/2006/customXml" ds:itemID="{10681913-7D3F-4B16-BD0E-3D31B5C32AA8}"/>
</file>

<file path=customXml/itemProps3.xml><?xml version="1.0" encoding="utf-8"?>
<ds:datastoreItem xmlns:ds="http://schemas.openxmlformats.org/officeDocument/2006/customXml" ds:itemID="{7D701F81-3A23-4A7E-8199-E455EA6C6C2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13</Pages>
  <Words>4665</Words>
  <Characters>25570</Characters>
  <Application>Microsoft Office Word</Application>
  <DocSecurity>0</DocSecurity>
  <Lines>581</Lines>
  <Paragraphs>245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MALAKAUSKIENE Inga (DGT)</cp:lastModifiedBy>
  <cp:revision>5</cp:revision>
  <dcterms:created xsi:type="dcterms:W3CDTF">2021-03-11T11:42:00Z</dcterms:created>
  <dcterms:modified xsi:type="dcterms:W3CDTF">2024-10-18T14:54:00Z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